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  <w:bookmarkStart w:id="0" w:name="_GoBack"/>
      <w:bookmarkEnd w:id="0"/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</w:t>
      </w:r>
      <w:r w:rsidR="000526FE">
        <w:rPr>
          <w:rFonts w:ascii="Bookman Old Style" w:hAnsi="Bookman Old Style" w:cs="Arial"/>
        </w:rPr>
        <w:t>é</w:t>
      </w:r>
      <w:r>
        <w:rPr>
          <w:rFonts w:ascii="Bookman Old Style" w:hAnsi="Bookman Old Style" w:cs="Arial"/>
        </w:rPr>
        <w:t>: PhDr. Anna Píchová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r w:rsidR="00BE10BE">
        <w:rPr>
          <w:rFonts w:ascii="Bookman Old Style" w:hAnsi="Bookman Old Style" w:cs="Arial"/>
        </w:rPr>
        <w:t>Glasová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041908" w:rsidRDefault="00BE10BE" w:rsidP="00041908">
      <w:pPr>
        <w:pStyle w:val="Index"/>
        <w:suppressLineNumbers w:val="0"/>
        <w:rPr>
          <w:rFonts w:ascii="Bookman Old Style" w:hAnsi="Bookman Old Style"/>
          <w:b/>
          <w:bCs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041908" w:rsidRPr="00DD709E">
        <w:rPr>
          <w:rFonts w:ascii="Bookman Old Style" w:hAnsi="Bookman Old Style"/>
          <w:b/>
        </w:rPr>
        <w:t>„</w:t>
      </w:r>
      <w:r w:rsidR="00041908" w:rsidRPr="0062569B">
        <w:rPr>
          <w:rFonts w:ascii="Bookman Old Style" w:hAnsi="Bookman Old Style"/>
          <w:b/>
          <w:bCs/>
        </w:rPr>
        <w:t xml:space="preserve">Výroba a dodanie textilných záster s vyšívaným logom pre </w:t>
      </w:r>
    </w:p>
    <w:p w:rsidR="00041908" w:rsidRDefault="00041908" w:rsidP="00041908">
      <w:pPr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/>
          <w:b/>
          <w:bCs/>
        </w:rPr>
        <w:t xml:space="preserve">                              </w:t>
      </w:r>
      <w:r w:rsidRPr="0062569B">
        <w:rPr>
          <w:rFonts w:ascii="Bookman Old Style" w:hAnsi="Bookman Old Style"/>
          <w:b/>
          <w:bCs/>
        </w:rPr>
        <w:t>podujatie Jablkové hodovanie</w:t>
      </w:r>
      <w:r>
        <w:rPr>
          <w:rFonts w:ascii="Bookman Old Style" w:hAnsi="Bookman Old Style" w:cs="Arial"/>
          <w:bCs/>
          <w:sz w:val="28"/>
          <w:szCs w:val="28"/>
        </w:rPr>
        <w:t>“</w:t>
      </w:r>
    </w:p>
    <w:p w:rsidR="00BB4E39" w:rsidRDefault="00BE10BE" w:rsidP="0004190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9F540A" w:rsidRDefault="00134732" w:rsidP="009F540A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041908" w:rsidRDefault="00041908" w:rsidP="00041908">
      <w:pPr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Zástera s vyšívaním loga </w:t>
      </w:r>
      <w:r w:rsidRPr="004F6D38">
        <w:rPr>
          <w:rFonts w:ascii="Bookman Old Style" w:hAnsi="Bookman Old Style" w:cs="Arial"/>
          <w:b/>
          <w:color w:val="000000"/>
        </w:rPr>
        <w:t>Jablkové hodovanie® 2020</w:t>
      </w:r>
      <w:r>
        <w:rPr>
          <w:rFonts w:ascii="Bookman Old Style" w:hAnsi="Bookman Old Style" w:cs="Arial"/>
          <w:b/>
          <w:color w:val="000000"/>
        </w:rPr>
        <w:t xml:space="preserve"> a vreckom</w:t>
      </w:r>
    </w:p>
    <w:p w:rsidR="00041908" w:rsidRPr="00041908" w:rsidRDefault="00041908" w:rsidP="00041908">
      <w:pPr>
        <w:rPr>
          <w:rFonts w:ascii="Bookman Old Style" w:hAnsi="Bookman Old Style" w:cs="Arial"/>
          <w:color w:val="000000"/>
        </w:rPr>
      </w:pPr>
      <w:r w:rsidRPr="00041908">
        <w:rPr>
          <w:rFonts w:ascii="Bookman Old Style" w:hAnsi="Bookman Old Style" w:cs="Arial"/>
          <w:color w:val="000000"/>
        </w:rPr>
        <w:t>Zástera s vreckom v počte 300 ks</w:t>
      </w:r>
    </w:p>
    <w:p w:rsidR="00041908" w:rsidRDefault="00041908" w:rsidP="00041908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farebnosť zástery – modrá, červená, zelená, vanilková</w:t>
      </w:r>
    </w:p>
    <w:p w:rsidR="00041908" w:rsidRDefault="00041908" w:rsidP="00041908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materiál: 100 % bavlna, gramáž minimálne 150g/m2</w:t>
      </w:r>
    </w:p>
    <w:p w:rsidR="00041908" w:rsidRDefault="00041908" w:rsidP="00041908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výšivka: umiestnenie na hruď zástery,   </w:t>
      </w:r>
    </w:p>
    <w:p w:rsidR="00041908" w:rsidRDefault="00041908" w:rsidP="00041908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            farebná , rozmer 12 x 5,6 cm</w:t>
      </w:r>
    </w:p>
    <w:p w:rsidR="00897DC9" w:rsidRDefault="00041908" w:rsidP="00041908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Cena musí obsahovať: textilný výrobok, výšivku, balenie, expedíciu a dodanie</w:t>
      </w:r>
    </w:p>
    <w:p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041908" w:rsidRDefault="00134732" w:rsidP="00041908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041908" w:rsidRPr="00041908">
        <w:rPr>
          <w:rFonts w:ascii="Bookman Old Style" w:hAnsi="Bookman Old Style"/>
          <w:color w:val="000000"/>
        </w:rPr>
        <w:t xml:space="preserve">39500000-7 Textilné výrobky, </w:t>
      </w:r>
    </w:p>
    <w:p w:rsidR="00041908" w:rsidRDefault="00041908" w:rsidP="00041908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333333"/>
          <w:shd w:val="clear" w:color="auto" w:fill="FFFFFF"/>
        </w:rPr>
        <w:t xml:space="preserve">                  </w:t>
      </w:r>
      <w:r w:rsidRPr="00041908">
        <w:rPr>
          <w:rFonts w:ascii="Bookman Old Style" w:hAnsi="Bookman Old Style"/>
          <w:color w:val="333333"/>
          <w:shd w:val="clear" w:color="auto" w:fill="FFFFFF"/>
        </w:rPr>
        <w:t>98393000-4 Krajčírske služby</w:t>
      </w:r>
      <w:r w:rsidRPr="00041908">
        <w:rPr>
          <w:rFonts w:ascii="Bookman Old Style" w:hAnsi="Bookman Old Style"/>
          <w:color w:val="000000"/>
        </w:rPr>
        <w:t>,</w:t>
      </w:r>
      <w:r w:rsidR="00C5588A">
        <w:rPr>
          <w:rFonts w:ascii="Bookman Old Style" w:hAnsi="Bookman Old Style"/>
          <w:color w:val="000000"/>
        </w:rPr>
        <w:t xml:space="preserve">                  </w:t>
      </w:r>
      <w:r w:rsidR="00C5588A" w:rsidRPr="00C5588A">
        <w:rPr>
          <w:rFonts w:ascii="Bookman Old Style" w:hAnsi="Bookman Old Style"/>
          <w:color w:val="000000"/>
        </w:rPr>
        <w:t xml:space="preserve"> </w:t>
      </w:r>
    </w:p>
    <w:p w:rsidR="00CC2810" w:rsidRPr="00041908" w:rsidRDefault="00041908" w:rsidP="00041908">
      <w:pPr>
        <w:spacing w:after="160"/>
        <w:contextualSpacing/>
        <w:jc w:val="both"/>
        <w:rPr>
          <w:rFonts w:ascii="Bookman Old Style" w:hAnsi="Bookman Old Style"/>
          <w:color w:val="333333"/>
          <w:shd w:val="clear" w:color="auto" w:fill="FFFFFF"/>
        </w:rPr>
      </w:pPr>
      <w:r>
        <w:rPr>
          <w:rFonts w:ascii="Bookman Old Style" w:hAnsi="Bookman Old Style"/>
          <w:color w:val="000000"/>
        </w:rPr>
        <w:t xml:space="preserve">                  </w:t>
      </w:r>
      <w:r w:rsidR="00C5588A" w:rsidRPr="00C5588A">
        <w:rPr>
          <w:rFonts w:ascii="Bookman Old Style" w:hAnsi="Bookman Old Style"/>
          <w:color w:val="000000"/>
        </w:rPr>
        <w:t>60000000-8 Dopravné služby (bez prepravy odpadu)</w:t>
      </w:r>
    </w:p>
    <w:p w:rsidR="00C5588A" w:rsidRPr="00C5588A" w:rsidRDefault="00C5588A" w:rsidP="00C5588A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041908" w:rsidRPr="00041908">
        <w:rPr>
          <w:rFonts w:ascii="Bookman Old Style" w:hAnsi="Bookman Old Style" w:cs="Arial"/>
          <w:b/>
          <w:color w:val="000000" w:themeColor="text1"/>
        </w:rPr>
        <w:t>1.662,50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B4134C" w:rsidRDefault="00D26255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C5588A">
        <w:rPr>
          <w:rFonts w:ascii="Bookman Old Style" w:hAnsi="Bookman Old Style" w:cs="Arial"/>
        </w:rPr>
        <w:t>24.09.202</w:t>
      </w:r>
      <w:r w:rsidR="009F540A">
        <w:rPr>
          <w:rFonts w:ascii="Bookman Old Style" w:hAnsi="Bookman Old Style" w:cs="Arial"/>
        </w:rPr>
        <w:t>0</w:t>
      </w:r>
      <w:r w:rsidR="00C5588A">
        <w:rPr>
          <w:rFonts w:ascii="Bookman Old Style" w:hAnsi="Bookman Old Style" w:cs="Arial"/>
        </w:rPr>
        <w:t>, dodanie tlačových podkladov do 15.09.2020</w:t>
      </w:r>
      <w:r w:rsidR="00B4134C" w:rsidRPr="00DA3D6D">
        <w:rPr>
          <w:rFonts w:ascii="Bookman Old Style" w:hAnsi="Bookman Old Style" w:cs="Arial"/>
        </w:rPr>
        <w:tab/>
      </w:r>
    </w:p>
    <w:p w:rsidR="00430C6F" w:rsidRPr="00BE10BE" w:rsidRDefault="00430C6F" w:rsidP="00D26255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>ísm. e) zákona o VO, t.j.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5F0731">
        <w:rPr>
          <w:rFonts w:ascii="Bookman Old Style" w:hAnsi="Bookman Old Style" w:cs="Arial"/>
          <w:b/>
        </w:rPr>
        <w:t>2</w:t>
      </w:r>
      <w:r w:rsidR="00C5588A">
        <w:rPr>
          <w:rFonts w:ascii="Bookman Old Style" w:hAnsi="Bookman Old Style" w:cs="Arial"/>
          <w:b/>
        </w:rPr>
        <w:t>1</w:t>
      </w:r>
      <w:r w:rsidR="001E6401">
        <w:rPr>
          <w:rFonts w:ascii="Bookman Old Style" w:hAnsi="Bookman Old Style" w:cs="Arial"/>
          <w:b/>
        </w:rPr>
        <w:t>.0</w:t>
      </w:r>
      <w:r w:rsidR="00C5588A">
        <w:rPr>
          <w:rFonts w:ascii="Bookman Old Style" w:hAnsi="Bookman Old Style" w:cs="Arial"/>
          <w:b/>
        </w:rPr>
        <w:t>8</w:t>
      </w:r>
      <w:r w:rsidR="00D51A72">
        <w:rPr>
          <w:rFonts w:ascii="Bookman Old Style" w:hAnsi="Bookman Old Style" w:cs="Arial"/>
          <w:b/>
        </w:rPr>
        <w:t>.2020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</w:t>
      </w:r>
      <w:r w:rsidR="00041908">
        <w:rPr>
          <w:rFonts w:ascii="Bookman Old Style" w:hAnsi="Bookman Old Style" w:cs="Arial"/>
          <w:b/>
        </w:rPr>
        <w:t>6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041908">
        <w:rPr>
          <w:rFonts w:ascii="Bookman Old Style" w:hAnsi="Bookman Old Style" w:cs="Arial"/>
          <w:b/>
        </w:rPr>
        <w:t>Výroba a dodanie textilných záster s vyšívaním logom</w:t>
      </w:r>
      <w:r w:rsidR="00562DB2">
        <w:rPr>
          <w:rFonts w:ascii="Bookman Old Style" w:hAnsi="Bookman Old Style" w:cs="Arial"/>
          <w:b/>
        </w:rPr>
        <w:t xml:space="preserve"> </w:t>
      </w:r>
      <w:r w:rsidR="00D02A06">
        <w:rPr>
          <w:rFonts w:ascii="Bookman Old Style" w:hAnsi="Bookman Old Style" w:cs="Arial"/>
          <w:b/>
        </w:rPr>
        <w:t>pre</w:t>
      </w:r>
      <w:r w:rsidR="00562DB2">
        <w:rPr>
          <w:rFonts w:ascii="Bookman Old Style" w:hAnsi="Bookman Old Style" w:cs="Arial"/>
          <w:b/>
        </w:rPr>
        <w:t xml:space="preserve"> podujatie </w:t>
      </w:r>
      <w:r w:rsidR="00C5588A">
        <w:rPr>
          <w:rFonts w:ascii="Bookman Old Style" w:hAnsi="Bookman Old Style" w:cs="Arial"/>
          <w:b/>
        </w:rPr>
        <w:t>Jablkové hodovanie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1E6401">
        <w:rPr>
          <w:rFonts w:ascii="Bookman Old Style" w:hAnsi="Bookman Old Style" w:cs="Arial"/>
        </w:rPr>
        <w:t>1</w:t>
      </w:r>
      <w:r w:rsidR="00C5588A">
        <w:rPr>
          <w:rFonts w:ascii="Bookman Old Style" w:hAnsi="Bookman Old Style" w:cs="Arial"/>
        </w:rPr>
        <w:t>3</w:t>
      </w:r>
      <w:r w:rsidR="001E6401">
        <w:rPr>
          <w:rFonts w:ascii="Bookman Old Style" w:hAnsi="Bookman Old Style" w:cs="Arial"/>
        </w:rPr>
        <w:t>.0</w:t>
      </w:r>
      <w:r w:rsidR="00C5588A">
        <w:rPr>
          <w:rFonts w:ascii="Bookman Old Style" w:hAnsi="Bookman Old Style" w:cs="Arial"/>
        </w:rPr>
        <w:t>8</w:t>
      </w:r>
      <w:r w:rsidR="00D51A72">
        <w:rPr>
          <w:rFonts w:ascii="Bookman Old Style" w:hAnsi="Bookman Old Style" w:cs="Arial"/>
        </w:rPr>
        <w:t>.2020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EB" w:rsidRDefault="00DD18EB">
      <w:r>
        <w:separator/>
      </w:r>
    </w:p>
  </w:endnote>
  <w:endnote w:type="continuationSeparator" w:id="1">
    <w:p w:rsidR="00DD18EB" w:rsidRDefault="00DD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EB" w:rsidRDefault="00DD18EB">
      <w:r>
        <w:separator/>
      </w:r>
    </w:p>
  </w:footnote>
  <w:footnote w:type="continuationSeparator" w:id="1">
    <w:p w:rsidR="00DD18EB" w:rsidRDefault="00DD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18" w:rsidRDefault="00450E18">
    <w:pPr>
      <w:pStyle w:val="Nadpis1"/>
    </w:pPr>
  </w:p>
  <w:p w:rsidR="00450E18" w:rsidRDefault="00A76FBF">
    <w:pPr>
      <w:pStyle w:val="Nadpis4"/>
      <w:ind w:left="708"/>
      <w:rPr>
        <w:color w:val="000000"/>
      </w:rPr>
    </w:pPr>
    <w:r w:rsidRPr="00A76FB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58824551" r:id="rId2"/>
      </w:pict>
    </w:r>
    <w:r w:rsidRPr="00A76FBF"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58824552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A76FBF">
    <w:pPr>
      <w:pStyle w:val="Hlavika"/>
    </w:pPr>
    <w:r w:rsidRPr="00A76FBF"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2EB8"/>
    <w:rsid w:val="00034A82"/>
    <w:rsid w:val="00036594"/>
    <w:rsid w:val="00036F53"/>
    <w:rsid w:val="0003732B"/>
    <w:rsid w:val="00041908"/>
    <w:rsid w:val="00044240"/>
    <w:rsid w:val="000526FE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B1CDE"/>
    <w:rsid w:val="001C211B"/>
    <w:rsid w:val="001D56E2"/>
    <w:rsid w:val="001D71D5"/>
    <w:rsid w:val="001E111E"/>
    <w:rsid w:val="001E1424"/>
    <w:rsid w:val="001E57CB"/>
    <w:rsid w:val="001E6401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02064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201F"/>
    <w:rsid w:val="00393292"/>
    <w:rsid w:val="003A19F6"/>
    <w:rsid w:val="003A1A61"/>
    <w:rsid w:val="003B1CBD"/>
    <w:rsid w:val="003B3CEC"/>
    <w:rsid w:val="003D1660"/>
    <w:rsid w:val="003E7F70"/>
    <w:rsid w:val="003F1277"/>
    <w:rsid w:val="003F274C"/>
    <w:rsid w:val="003F4FC1"/>
    <w:rsid w:val="003F5624"/>
    <w:rsid w:val="00402921"/>
    <w:rsid w:val="00405A35"/>
    <w:rsid w:val="00411D55"/>
    <w:rsid w:val="00412844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731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1298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97DC9"/>
    <w:rsid w:val="008A3C4D"/>
    <w:rsid w:val="008A5FC6"/>
    <w:rsid w:val="008B5353"/>
    <w:rsid w:val="008B6E95"/>
    <w:rsid w:val="008C0D1F"/>
    <w:rsid w:val="008C12AB"/>
    <w:rsid w:val="008C7DE5"/>
    <w:rsid w:val="008E0728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9F540A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76FBF"/>
    <w:rsid w:val="00A8016A"/>
    <w:rsid w:val="00A80F3A"/>
    <w:rsid w:val="00A81035"/>
    <w:rsid w:val="00A815B0"/>
    <w:rsid w:val="00A912C1"/>
    <w:rsid w:val="00A92F4D"/>
    <w:rsid w:val="00AA6FF7"/>
    <w:rsid w:val="00AB4AC0"/>
    <w:rsid w:val="00AB6566"/>
    <w:rsid w:val="00AC5197"/>
    <w:rsid w:val="00AE24B8"/>
    <w:rsid w:val="00AE591E"/>
    <w:rsid w:val="00AE7CA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63622"/>
    <w:rsid w:val="00B63D04"/>
    <w:rsid w:val="00B66336"/>
    <w:rsid w:val="00B670AC"/>
    <w:rsid w:val="00B82874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215D9"/>
    <w:rsid w:val="00C31746"/>
    <w:rsid w:val="00C346C1"/>
    <w:rsid w:val="00C350BE"/>
    <w:rsid w:val="00C41B1C"/>
    <w:rsid w:val="00C42A1F"/>
    <w:rsid w:val="00C4373C"/>
    <w:rsid w:val="00C45850"/>
    <w:rsid w:val="00C507FB"/>
    <w:rsid w:val="00C5588A"/>
    <w:rsid w:val="00C55B28"/>
    <w:rsid w:val="00C61863"/>
    <w:rsid w:val="00C636F0"/>
    <w:rsid w:val="00C83451"/>
    <w:rsid w:val="00C93472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5115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18EB"/>
    <w:rsid w:val="00DD506C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  <w:style w:type="paragraph" w:customStyle="1" w:styleId="Index">
    <w:name w:val="Index"/>
    <w:basedOn w:val="Normlny"/>
    <w:rsid w:val="00041908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ova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Soňa</cp:lastModifiedBy>
  <cp:revision>11</cp:revision>
  <cp:lastPrinted>2019-02-18T10:23:00Z</cp:lastPrinted>
  <dcterms:created xsi:type="dcterms:W3CDTF">2020-02-14T11:23:00Z</dcterms:created>
  <dcterms:modified xsi:type="dcterms:W3CDTF">2020-08-13T09:49:00Z</dcterms:modified>
</cp:coreProperties>
</file>